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5B3" w:rsidRDefault="005625B3">
      <w:pPr>
        <w:spacing w:line="240" w:lineRule="auto"/>
        <w:ind w:left="-449"/>
        <w:jc w:val="center"/>
      </w:pPr>
    </w:p>
    <w:p w:rsidR="005625B3" w:rsidRDefault="00666542">
      <w:pPr>
        <w:spacing w:line="240" w:lineRule="auto"/>
        <w:ind w:left="-449"/>
        <w:jc w:val="center"/>
      </w:pPr>
      <w:r>
        <w:rPr>
          <w:b/>
        </w:rPr>
        <w:t xml:space="preserve">       ДОГОВОР НА ПРОДВИЖЕНИЕ</w:t>
      </w:r>
    </w:p>
    <w:p w:rsidR="005625B3" w:rsidRDefault="00666542">
      <w:pPr>
        <w:spacing w:line="240" w:lineRule="auto"/>
        <w:ind w:left="-449"/>
        <w:jc w:val="center"/>
      </w:pPr>
      <w:proofErr w:type="gramStart"/>
      <w:r>
        <w:rPr>
          <w:b/>
        </w:rPr>
        <w:t>ИНТЕРНЕТ-ПРЕДСТАВИТЕЛЬСТВА</w:t>
      </w:r>
      <w:proofErr w:type="gramEnd"/>
      <w:r>
        <w:rPr>
          <w:b/>
        </w:rPr>
        <w:t xml:space="preserve"> № «</w:t>
      </w:r>
      <w:r w:rsidR="005B2FDB">
        <w:rPr>
          <w:b/>
        </w:rPr>
        <w:t>_______</w:t>
      </w:r>
      <w:r>
        <w:rPr>
          <w:b/>
        </w:rPr>
        <w:t>»</w:t>
      </w:r>
    </w:p>
    <w:p w:rsidR="005625B3" w:rsidRDefault="005625B3">
      <w:pPr>
        <w:spacing w:line="240" w:lineRule="auto"/>
        <w:jc w:val="both"/>
      </w:pPr>
    </w:p>
    <w:tbl>
      <w:tblPr>
        <w:tblStyle w:val="TableNormal"/>
        <w:tblW w:w="1077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073"/>
        <w:gridCol w:w="6699"/>
      </w:tblGrid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3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  <w:jc w:val="both"/>
            </w:pPr>
            <w:r>
              <w:t>г. Москва</w:t>
            </w:r>
          </w:p>
        </w:tc>
        <w:tc>
          <w:tcPr>
            <w:tcW w:w="6699" w:type="dxa"/>
            <w:tcMar>
              <w:left w:w="108" w:type="dxa"/>
              <w:right w:w="108" w:type="dxa"/>
            </w:tcMar>
          </w:tcPr>
          <w:p w:rsidR="005625B3" w:rsidRDefault="005B2FDB" w:rsidP="005B2FDB">
            <w:pPr>
              <w:spacing w:line="240" w:lineRule="auto"/>
              <w:ind w:right="-119"/>
              <w:jc w:val="right"/>
            </w:pPr>
            <w:r>
              <w:t>«_</w:t>
            </w:r>
            <w:r w:rsidR="00666542">
              <w:t xml:space="preserve">» апреля </w:t>
            </w:r>
            <w:r>
              <w:t>_____</w:t>
            </w:r>
            <w:proofErr w:type="gramStart"/>
            <w:r w:rsidR="00666542">
              <w:t>г</w:t>
            </w:r>
            <w:proofErr w:type="gramEnd"/>
            <w:r w:rsidR="00666542">
              <w:t>.</w:t>
            </w:r>
          </w:p>
        </w:tc>
      </w:tr>
    </w:tbl>
    <w:p w:rsidR="005625B3" w:rsidRDefault="005625B3">
      <w:pPr>
        <w:spacing w:line="240" w:lineRule="auto"/>
      </w:pPr>
    </w:p>
    <w:p w:rsidR="005625B3" w:rsidRDefault="00666542">
      <w:pPr>
        <w:spacing w:line="240" w:lineRule="auto"/>
        <w:jc w:val="both"/>
      </w:pPr>
      <w:r>
        <w:t>ООО “</w:t>
      </w:r>
      <w:proofErr w:type="spellStart"/>
      <w:r>
        <w:t>МегаИндекс</w:t>
      </w:r>
      <w:proofErr w:type="spellEnd"/>
      <w:r>
        <w:t xml:space="preserve">”, именуемое в дальнейшем  «Исполнитель», в лице Генерального директора </w:t>
      </w:r>
      <w:proofErr w:type="spellStart"/>
      <w:r>
        <w:t>Хиврина</w:t>
      </w:r>
      <w:proofErr w:type="spellEnd"/>
      <w:r>
        <w:t xml:space="preserve"> Николая Николаевича, действующего на основании Устава предприятия, с одной стороны, и _________________________________________________________________________, </w:t>
      </w:r>
      <w:r>
        <w:t xml:space="preserve">в лице директора ________________________________________________________________, действующего на основании Устава предприятия, с другой стороны, заключили  настоящий Договор о нижеследующем: </w:t>
      </w:r>
    </w:p>
    <w:p w:rsidR="005625B3" w:rsidRDefault="005625B3">
      <w:pPr>
        <w:spacing w:line="240" w:lineRule="auto"/>
      </w:pPr>
    </w:p>
    <w:p w:rsidR="005625B3" w:rsidRDefault="00666542">
      <w:pPr>
        <w:numPr>
          <w:ilvl w:val="0"/>
          <w:numId w:val="10"/>
        </w:numPr>
        <w:tabs>
          <w:tab w:val="left" w:pos="450"/>
          <w:tab w:val="left" w:pos="540"/>
        </w:tabs>
        <w:spacing w:line="240" w:lineRule="auto"/>
        <w:ind w:left="90"/>
        <w:contextualSpacing/>
        <w:jc w:val="both"/>
      </w:pPr>
      <w:r>
        <w:rPr>
          <w:b/>
        </w:rPr>
        <w:t>ОСНОВНЫЕ ПОНЯТИЯ, ПРИМЕНЯЕМЫЕ В НАСТОЯЩЕМ ДОГОВОРЕ</w:t>
      </w:r>
    </w:p>
    <w:p w:rsidR="005625B3" w:rsidRDefault="005625B3">
      <w:pPr>
        <w:spacing w:line="240" w:lineRule="auto"/>
        <w:ind w:left="705"/>
        <w:jc w:val="both"/>
      </w:pPr>
    </w:p>
    <w:p w:rsidR="005625B3" w:rsidRDefault="00666542">
      <w:pPr>
        <w:numPr>
          <w:ilvl w:val="1"/>
          <w:numId w:val="10"/>
        </w:numPr>
        <w:spacing w:line="240" w:lineRule="auto"/>
        <w:ind w:left="1185" w:hanging="704"/>
        <w:contextualSpacing/>
      </w:pPr>
      <w:r>
        <w:rPr>
          <w:b/>
        </w:rPr>
        <w:t>Интернет-представительство</w:t>
      </w:r>
      <w:r>
        <w:t xml:space="preserve"> – совокупность программ для ЭВМ, обеспечивающих распространение информации в глобальной сети Интернет посредством технических средств, применяемых для связи между ЭВМ и глобальной компьютерной сетью Интернет, и доступных по уника</w:t>
      </w:r>
      <w:r>
        <w:t>льному электронному адресу или его буквенному обозначению.</w:t>
      </w:r>
    </w:p>
    <w:p w:rsidR="005625B3" w:rsidRDefault="005625B3">
      <w:pPr>
        <w:spacing w:line="240" w:lineRule="auto"/>
        <w:ind w:left="705"/>
        <w:jc w:val="both"/>
      </w:pPr>
    </w:p>
    <w:p w:rsidR="005625B3" w:rsidRDefault="00666542">
      <w:pPr>
        <w:numPr>
          <w:ilvl w:val="0"/>
          <w:numId w:val="4"/>
        </w:numPr>
        <w:spacing w:line="240" w:lineRule="auto"/>
        <w:ind w:left="720"/>
        <w:contextualSpacing/>
        <w:jc w:val="both"/>
      </w:pPr>
      <w:r>
        <w:rPr>
          <w:b/>
        </w:rPr>
        <w:t>ПРЕДМЕТ ДОГОВОРА</w:t>
      </w:r>
    </w:p>
    <w:p w:rsidR="005625B3" w:rsidRDefault="005625B3">
      <w:pPr>
        <w:spacing w:line="240" w:lineRule="auto"/>
        <w:ind w:left="720"/>
      </w:pPr>
    </w:p>
    <w:p w:rsidR="005625B3" w:rsidRDefault="00666542">
      <w:pPr>
        <w:numPr>
          <w:ilvl w:val="1"/>
          <w:numId w:val="4"/>
        </w:numPr>
        <w:spacing w:line="240" w:lineRule="auto"/>
        <w:ind w:left="1185" w:hanging="719"/>
        <w:contextualSpacing/>
        <w:jc w:val="both"/>
      </w:pPr>
      <w:r>
        <w:t xml:space="preserve">Заказчик поручает Исполнителю, а Исполнитель принимает на себя обязательство выполнить работы </w:t>
      </w:r>
      <w:proofErr w:type="gramStart"/>
      <w:r>
        <w:t>по</w:t>
      </w:r>
      <w:proofErr w:type="gramEnd"/>
      <w:r>
        <w:t>:</w:t>
      </w:r>
    </w:p>
    <w:p w:rsidR="005625B3" w:rsidRDefault="005625B3"/>
    <w:p w:rsidR="005625B3" w:rsidRDefault="00666542">
      <w:pPr>
        <w:numPr>
          <w:ilvl w:val="0"/>
          <w:numId w:val="9"/>
        </w:numPr>
        <w:spacing w:line="240" w:lineRule="auto"/>
        <w:ind w:left="1275" w:hanging="359"/>
        <w:jc w:val="both"/>
      </w:pPr>
      <w:r>
        <w:t>Про</w:t>
      </w:r>
      <w:r>
        <w:t xml:space="preserve">движению </w:t>
      </w:r>
      <w:proofErr w:type="gramStart"/>
      <w:r>
        <w:t>Интернет–представительства</w:t>
      </w:r>
      <w:proofErr w:type="gramEnd"/>
    </w:p>
    <w:p w:rsidR="005625B3" w:rsidRDefault="005625B3">
      <w:pPr>
        <w:spacing w:line="240" w:lineRule="auto"/>
      </w:pPr>
    </w:p>
    <w:p w:rsidR="005625B3" w:rsidRDefault="00666542">
      <w:pPr>
        <w:spacing w:line="240" w:lineRule="auto"/>
        <w:ind w:firstLine="426"/>
      </w:pPr>
      <w:r>
        <w:t xml:space="preserve">Заказчика, находящегося по </w:t>
      </w:r>
      <w:proofErr w:type="spellStart"/>
      <w:r>
        <w:t>url</w:t>
      </w:r>
      <w:proofErr w:type="spellEnd"/>
      <w:r>
        <w:t>-адресу:</w:t>
      </w:r>
    </w:p>
    <w:p w:rsidR="005625B3" w:rsidRDefault="005625B3">
      <w:pPr>
        <w:spacing w:line="240" w:lineRule="auto"/>
        <w:ind w:firstLine="426"/>
      </w:pPr>
    </w:p>
    <w:tbl>
      <w:tblPr>
        <w:tblStyle w:val="TableNormal"/>
        <w:tblW w:w="10772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772"/>
      </w:tblGrid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7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5B3" w:rsidRDefault="005625B3">
            <w:pPr>
              <w:spacing w:line="240" w:lineRule="auto"/>
              <w:jc w:val="center"/>
            </w:pPr>
          </w:p>
        </w:tc>
      </w:tr>
    </w:tbl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spacing w:line="240" w:lineRule="auto"/>
        <w:ind w:left="420"/>
        <w:jc w:val="both"/>
      </w:pPr>
      <w:r>
        <w:t>в соответствии с Приложением  № 1, являющимся неотъемлемой частью настоящего Договора.</w:t>
      </w:r>
    </w:p>
    <w:p w:rsidR="005625B3" w:rsidRDefault="00666542">
      <w:pPr>
        <w:numPr>
          <w:ilvl w:val="1"/>
          <w:numId w:val="11"/>
        </w:numPr>
        <w:spacing w:line="240" w:lineRule="auto"/>
        <w:ind w:left="1275" w:hanging="434"/>
        <w:contextualSpacing/>
        <w:jc w:val="both"/>
      </w:pPr>
      <w:r>
        <w:t>Конечная цель услуг Исполнителя по Договору – чтобы в результате выполнения пользователем Интернета поисковых запросов, включающих ключевые слова, указанные в Приложении №1, первая страница содержала URL‑адрес Заказчика.</w:t>
      </w:r>
    </w:p>
    <w:p w:rsidR="005625B3" w:rsidRDefault="005625B3">
      <w:pPr>
        <w:spacing w:line="240" w:lineRule="auto"/>
        <w:ind w:left="420"/>
        <w:jc w:val="both"/>
      </w:pPr>
    </w:p>
    <w:p w:rsidR="005625B3" w:rsidRDefault="005625B3">
      <w:pPr>
        <w:spacing w:line="240" w:lineRule="auto"/>
        <w:ind w:left="720"/>
      </w:pPr>
    </w:p>
    <w:p w:rsidR="005625B3" w:rsidRDefault="00666542">
      <w:pPr>
        <w:numPr>
          <w:ilvl w:val="0"/>
          <w:numId w:val="16"/>
        </w:numPr>
        <w:spacing w:line="240" w:lineRule="auto"/>
        <w:ind w:left="720"/>
        <w:contextualSpacing/>
        <w:jc w:val="both"/>
      </w:pPr>
      <w:r>
        <w:rPr>
          <w:b/>
        </w:rPr>
        <w:t>ОПЛАТА И ПОРЯДОК РАСЧЕТОВ</w:t>
      </w:r>
    </w:p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>Стоимо</w:t>
      </w:r>
      <w:r>
        <w:t>сть работы указана в Приложении № 1.</w:t>
      </w: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>Заказчик оплачивает исполнение  работ в течение 3 рабочих дней с момента заключения настоящего Договора.</w:t>
      </w: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>Расчеты производятся на основании счета, выставляемого Исполнителем в соответствии с Приложением № 1.</w:t>
      </w: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 xml:space="preserve">Исполнитель </w:t>
      </w:r>
      <w:r>
        <w:t>не является плательщиком НДС в соответствии с п. 2 ст. 346.11. Налогового кодекса Российской Федерации.</w:t>
      </w: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>Расчеты осуществляются путем перевода денежных средств на расчетный счет Исполнителя.</w:t>
      </w:r>
    </w:p>
    <w:p w:rsidR="005625B3" w:rsidRDefault="00666542">
      <w:pPr>
        <w:numPr>
          <w:ilvl w:val="1"/>
          <w:numId w:val="16"/>
        </w:numPr>
        <w:spacing w:line="240" w:lineRule="auto"/>
        <w:ind w:left="1185" w:hanging="719"/>
        <w:contextualSpacing/>
        <w:jc w:val="both"/>
      </w:pPr>
      <w:r>
        <w:t>Обязательства Заказчика по осуществлению платежа считаются выполне</w:t>
      </w:r>
      <w:r>
        <w:t>нными в момент поступления денежных средств на расчетный счет Исполнителя.</w:t>
      </w:r>
    </w:p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numPr>
          <w:ilvl w:val="0"/>
          <w:numId w:val="6"/>
        </w:numPr>
        <w:spacing w:line="240" w:lineRule="auto"/>
        <w:ind w:left="705"/>
        <w:contextualSpacing/>
        <w:jc w:val="both"/>
      </w:pPr>
      <w:r>
        <w:rPr>
          <w:b/>
        </w:rPr>
        <w:t>ПОРЯДОК ВЗАИМОДЕЙСТВИЯ СТОРОН</w:t>
      </w:r>
    </w:p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numPr>
          <w:ilvl w:val="1"/>
          <w:numId w:val="3"/>
        </w:numPr>
        <w:spacing w:line="240" w:lineRule="auto"/>
        <w:ind w:left="1125" w:hanging="719"/>
        <w:contextualSpacing/>
        <w:jc w:val="both"/>
      </w:pPr>
      <w:r>
        <w:t>Исполнитель приступает к работе по</w:t>
      </w:r>
      <w:r>
        <w:t xml:space="preserve"> продвижению интер</w:t>
      </w:r>
      <w:r>
        <w:t>нет-представительства Заказчика</w:t>
      </w:r>
      <w:r>
        <w:t xml:space="preserve"> </w:t>
      </w:r>
      <w:proofErr w:type="gramStart"/>
      <w:r>
        <w:t>соответствии</w:t>
      </w:r>
      <w:proofErr w:type="gramEnd"/>
      <w:r>
        <w:t xml:space="preserve"> с Приложением  № 1 в течение 3 (трех) рабочих дней со дня осуществления Заказчиком оплаты работ.</w:t>
      </w:r>
    </w:p>
    <w:p w:rsidR="005625B3" w:rsidRDefault="00666542">
      <w:pPr>
        <w:numPr>
          <w:ilvl w:val="1"/>
          <w:numId w:val="3"/>
        </w:numPr>
        <w:spacing w:line="240" w:lineRule="auto"/>
        <w:ind w:left="1125" w:hanging="719"/>
        <w:contextualSpacing/>
        <w:jc w:val="both"/>
      </w:pPr>
      <w:r>
        <w:t>По окончании выполнения работ Исполнитель предоставляет  Акт выполненных  работ в 2 (двух) экземплярах.</w:t>
      </w:r>
    </w:p>
    <w:p w:rsidR="005625B3" w:rsidRDefault="00666542">
      <w:pPr>
        <w:numPr>
          <w:ilvl w:val="1"/>
          <w:numId w:val="3"/>
        </w:numPr>
        <w:spacing w:line="240" w:lineRule="auto"/>
        <w:ind w:left="1125" w:hanging="719"/>
        <w:contextualSpacing/>
        <w:jc w:val="both"/>
      </w:pPr>
      <w:r>
        <w:lastRenderedPageBreak/>
        <w:t>Заказчик утверждает (подписывает, скрепля</w:t>
      </w:r>
      <w:r>
        <w:t>ет печатью) и передает Исполнителю 1 (один) Акт выполненных работ в течение 2 (двух) рабочих дней с момента его получения.</w:t>
      </w:r>
    </w:p>
    <w:p w:rsidR="005625B3" w:rsidRDefault="00666542">
      <w:pPr>
        <w:spacing w:line="240" w:lineRule="auto"/>
        <w:ind w:left="1125" w:hanging="704"/>
        <w:jc w:val="both"/>
      </w:pPr>
      <w:r>
        <w:t>4.4.</w:t>
      </w:r>
      <w:r>
        <w:tab/>
        <w:t>В случае отказа подписать Акт выполненного этапа работ Заказчик в течение 5 (пяти) рабочих дней направляет Исполнителю мотивиров</w:t>
      </w:r>
      <w:r>
        <w:t>анный отказ от подписания Акта выполненных работ.</w:t>
      </w:r>
      <w:r>
        <w:t xml:space="preserve"> </w:t>
      </w:r>
      <w:r>
        <w:t>Мотивированным для целей настоящего Договора признается отказ, выраженный в письменной форме и содержащий указания на нарушение положений настоящего Договора и/или Приложения  № 1, связанное с качеством вып</w:t>
      </w:r>
      <w:r>
        <w:t>олненных работ.</w:t>
      </w:r>
    </w:p>
    <w:p w:rsidR="005625B3" w:rsidRDefault="00666542">
      <w:pPr>
        <w:spacing w:line="240" w:lineRule="auto"/>
        <w:ind w:left="1125" w:hanging="704"/>
        <w:jc w:val="both"/>
      </w:pPr>
      <w:r>
        <w:t>4.5.</w:t>
      </w:r>
      <w:r>
        <w:tab/>
        <w:t>В случае несоблюдения сроков, предусмотренных п. 4.3. и 4.4. настоящего Договора Акт выполненного этапа работ считается принятым.</w:t>
      </w:r>
    </w:p>
    <w:p w:rsidR="005625B3" w:rsidRDefault="005625B3">
      <w:pPr>
        <w:spacing w:line="240" w:lineRule="auto"/>
        <w:ind w:left="720" w:hanging="719"/>
        <w:jc w:val="both"/>
      </w:pPr>
    </w:p>
    <w:p w:rsidR="005625B3" w:rsidRDefault="00666542">
      <w:pPr>
        <w:numPr>
          <w:ilvl w:val="0"/>
          <w:numId w:val="5"/>
        </w:numPr>
        <w:spacing w:line="240" w:lineRule="auto"/>
        <w:ind w:left="705" w:hanging="704"/>
        <w:jc w:val="both"/>
      </w:pPr>
      <w:r>
        <w:rPr>
          <w:b/>
        </w:rPr>
        <w:t>КОНФИДЕНЦИАЛЬНОСТЬ</w:t>
      </w:r>
    </w:p>
    <w:p w:rsidR="005625B3" w:rsidRDefault="005625B3">
      <w:pPr>
        <w:spacing w:line="240" w:lineRule="auto"/>
        <w:jc w:val="both"/>
      </w:pPr>
    </w:p>
    <w:p w:rsidR="005625B3" w:rsidRDefault="00666542">
      <w:pPr>
        <w:numPr>
          <w:ilvl w:val="1"/>
          <w:numId w:val="5"/>
        </w:numPr>
        <w:spacing w:line="240" w:lineRule="auto"/>
        <w:ind w:left="1125" w:hanging="704"/>
        <w:jc w:val="both"/>
      </w:pPr>
      <w:r>
        <w:t>В течение всего срока действия настоящего Договора и в течение 5 (пяти) лет со дня е</w:t>
      </w:r>
      <w:r>
        <w:t>го истечения вся информация, касающаяся условий Договора, остается конфиденциальной («Конфиденциальная информация»).</w:t>
      </w:r>
    </w:p>
    <w:p w:rsidR="005625B3" w:rsidRDefault="00666542">
      <w:pPr>
        <w:numPr>
          <w:ilvl w:val="1"/>
          <w:numId w:val="5"/>
        </w:numPr>
        <w:spacing w:line="240" w:lineRule="auto"/>
        <w:ind w:left="1125" w:hanging="704"/>
        <w:jc w:val="both"/>
      </w:pPr>
      <w:r>
        <w:t>Передача одной Стороной Конфиденциальной информации третьим лицам, равно как и раскрытие Конфиденциальной информации, и любой другой доступ</w:t>
      </w:r>
      <w:r>
        <w:t xml:space="preserve"> к ней может быть осуществлен только с письменного разрешения другой Стороны. Доступ к Конфиденциальной информации будут иметь только те сотрудники и должностные лица Сторон, которым надлежит владеть такой Конфиденциальной информацией для исполнения своих </w:t>
      </w:r>
      <w:r>
        <w:t>обязанностей в рамках данного Договора.</w:t>
      </w:r>
    </w:p>
    <w:p w:rsidR="005625B3" w:rsidRDefault="00666542">
      <w:pPr>
        <w:numPr>
          <w:ilvl w:val="1"/>
          <w:numId w:val="5"/>
        </w:numPr>
        <w:spacing w:line="240" w:lineRule="auto"/>
        <w:ind w:left="1125" w:hanging="704"/>
        <w:jc w:val="both"/>
      </w:pPr>
      <w:r>
        <w:t xml:space="preserve">Стороны </w:t>
      </w:r>
      <w:proofErr w:type="gramStart"/>
      <w:r>
        <w:t>примут все меры для сохранения Конфиденциальной информации и во всех случаях</w:t>
      </w:r>
      <w:proofErr w:type="gramEnd"/>
      <w:r>
        <w:t xml:space="preserve"> будут относиться к ней с должной степенью осторожности.</w:t>
      </w:r>
    </w:p>
    <w:p w:rsidR="005625B3" w:rsidRDefault="005625B3">
      <w:pPr>
        <w:spacing w:line="240" w:lineRule="auto"/>
        <w:ind w:left="720" w:hanging="719"/>
        <w:jc w:val="both"/>
      </w:pPr>
    </w:p>
    <w:p w:rsidR="005625B3" w:rsidRDefault="00666542">
      <w:pPr>
        <w:numPr>
          <w:ilvl w:val="0"/>
          <w:numId w:val="5"/>
        </w:numPr>
        <w:spacing w:line="240" w:lineRule="auto"/>
        <w:ind w:left="720" w:hanging="719"/>
        <w:jc w:val="both"/>
      </w:pPr>
      <w:r>
        <w:rPr>
          <w:b/>
        </w:rPr>
        <w:t>ОБЯЗАТЕЛЬСТВА СТОРОН</w:t>
      </w:r>
    </w:p>
    <w:p w:rsidR="005625B3" w:rsidRDefault="00666542">
      <w:pPr>
        <w:numPr>
          <w:ilvl w:val="1"/>
          <w:numId w:val="5"/>
        </w:numPr>
        <w:spacing w:line="240" w:lineRule="auto"/>
        <w:ind w:left="1125" w:hanging="719"/>
        <w:jc w:val="both"/>
      </w:pPr>
      <w:r>
        <w:rPr>
          <w:b/>
        </w:rPr>
        <w:t>Исполнитель обязуется: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 xml:space="preserve">Приступить к работе по Исправлению ошибок </w:t>
      </w:r>
      <w:proofErr w:type="gramStart"/>
      <w:r>
        <w:t>Интернет-представительства</w:t>
      </w:r>
      <w:proofErr w:type="gramEnd"/>
      <w:r>
        <w:t xml:space="preserve"> в соответствии с Приложением № 1 не позднее 3 рабочих дней с момента получения предоплаты по Договору;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Обеспечить исполнение условий настоящего договора, не нарушая работоспособность сайт</w:t>
      </w:r>
      <w:r>
        <w:t>а.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Не вносить никаких изменений в код сайта, не предусмотренных перечнем работ по настоящему договору.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Не изменять URL-адреса страниц сайта без согласования с Подрядчиком в течение всего срока действия настоящего Договора.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В течение всего срока действия на</w:t>
      </w:r>
      <w:r>
        <w:t xml:space="preserve">стоящего Договора согласовывать с Подрядчиком все вопросы, связанные с размещение рекламы сайта в Интернете, размещение ссылок на сайт и на сайте Заказчика, установка, снятие и изменение </w:t>
      </w:r>
      <w:proofErr w:type="gramStart"/>
      <w:r>
        <w:t>настроек счетчиков посещаемости сайта Заказчика</w:t>
      </w:r>
      <w:proofErr w:type="gramEnd"/>
      <w:r>
        <w:t xml:space="preserve"> и других элементов ди</w:t>
      </w:r>
      <w:r>
        <w:t>зайна и логотипов, за исключением счетчика статистики</w:t>
      </w:r>
      <w:r>
        <w:rPr>
          <w:rFonts w:ascii="Times New Roman" w:eastAsia="Times New Roman" w:hAnsi="Times New Roman" w:cs="Times New Roman"/>
        </w:rPr>
        <w:t> </w:t>
      </w:r>
      <w:proofErr w:type="spellStart"/>
      <w:r>
        <w:t>MegaIndex</w:t>
      </w:r>
      <w:proofErr w:type="spellEnd"/>
      <w:r>
        <w:t>.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По окончании работ предоставить копию Акта выполненных работ в 2 (Двух) экземплярах в течение 3-х рабочих дней;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И</w:t>
      </w:r>
      <w:r>
        <w:t>нформировать Заказчика о ходе работ по запросу Заказчика.</w:t>
      </w:r>
    </w:p>
    <w:p w:rsidR="005625B3" w:rsidRDefault="00666542">
      <w:pPr>
        <w:numPr>
          <w:ilvl w:val="1"/>
          <w:numId w:val="5"/>
        </w:numPr>
        <w:ind w:left="1125" w:hanging="704"/>
        <w:contextualSpacing/>
      </w:pPr>
      <w:r>
        <w:rPr>
          <w:b/>
        </w:rPr>
        <w:t>Заказчик обязуется:</w:t>
      </w:r>
    </w:p>
    <w:p w:rsidR="005625B3" w:rsidRDefault="00666542">
      <w:pPr>
        <w:numPr>
          <w:ilvl w:val="2"/>
          <w:numId w:val="5"/>
        </w:numPr>
        <w:spacing w:line="240" w:lineRule="auto"/>
        <w:ind w:left="1410" w:hanging="719"/>
        <w:jc w:val="both"/>
      </w:pPr>
      <w:r>
        <w:t>Осуществл</w:t>
      </w:r>
      <w:r>
        <w:t xml:space="preserve">ять платежи согласно статье 3 Договора. Утверждать и передавать Исполнителю Акты выполненных работ </w:t>
      </w:r>
      <w:r>
        <w:t>не позднее</w:t>
      </w:r>
      <w:r>
        <w:t xml:space="preserve"> 5 (пяти) рабочих дней с момента их получения.</w:t>
      </w:r>
    </w:p>
    <w:p w:rsidR="005625B3" w:rsidRDefault="005625B3">
      <w:pPr>
        <w:spacing w:line="240" w:lineRule="auto"/>
        <w:ind w:left="720" w:hanging="719"/>
        <w:jc w:val="both"/>
      </w:pPr>
    </w:p>
    <w:p w:rsidR="005625B3" w:rsidRDefault="00666542">
      <w:pPr>
        <w:numPr>
          <w:ilvl w:val="0"/>
          <w:numId w:val="5"/>
        </w:numPr>
        <w:spacing w:line="240" w:lineRule="auto"/>
        <w:ind w:left="720" w:hanging="719"/>
        <w:jc w:val="both"/>
      </w:pPr>
      <w:r>
        <w:rPr>
          <w:b/>
        </w:rPr>
        <w:t>ОТВЕТСТВЕННОСТЬ СТОРОН</w:t>
      </w:r>
    </w:p>
    <w:p w:rsidR="005625B3" w:rsidRDefault="00666542">
      <w:pPr>
        <w:numPr>
          <w:ilvl w:val="1"/>
          <w:numId w:val="7"/>
        </w:numPr>
        <w:spacing w:line="240" w:lineRule="auto"/>
        <w:ind w:left="1125" w:hanging="719"/>
        <w:jc w:val="both"/>
      </w:pPr>
      <w:r>
        <w:t xml:space="preserve">Стороны несут ответственность </w:t>
      </w:r>
      <w:proofErr w:type="gramStart"/>
      <w:r>
        <w:t>за невыполнение принятых на себя обяз</w:t>
      </w:r>
      <w:r>
        <w:t>ательств по настоящему Договору в соответствии с его условиями</w:t>
      </w:r>
      <w:proofErr w:type="gramEnd"/>
      <w:r>
        <w:t xml:space="preserve"> и действующим законодательством Российской Федерации.</w:t>
      </w:r>
    </w:p>
    <w:p w:rsidR="005625B3" w:rsidRDefault="005625B3">
      <w:pPr>
        <w:spacing w:line="240" w:lineRule="auto"/>
        <w:jc w:val="both"/>
      </w:pPr>
    </w:p>
    <w:p w:rsidR="005625B3" w:rsidRDefault="00666542">
      <w:pPr>
        <w:numPr>
          <w:ilvl w:val="0"/>
          <w:numId w:val="1"/>
        </w:numPr>
        <w:spacing w:line="240" w:lineRule="auto"/>
        <w:ind w:hanging="719"/>
        <w:contextualSpacing/>
        <w:jc w:val="both"/>
      </w:pPr>
      <w:r>
        <w:rPr>
          <w:b/>
        </w:rPr>
        <w:t>СРОК ДЕЙСТВИЯ ДОГОВОРА</w:t>
      </w:r>
    </w:p>
    <w:p w:rsidR="005625B3" w:rsidRDefault="00666542">
      <w:pPr>
        <w:numPr>
          <w:ilvl w:val="1"/>
          <w:numId w:val="8"/>
        </w:numPr>
        <w:spacing w:line="240" w:lineRule="auto"/>
        <w:ind w:left="1125" w:hanging="719"/>
        <w:jc w:val="both"/>
      </w:pPr>
      <w:r>
        <w:t>Договор вступает в силу с момента подписания Сторонами.</w:t>
      </w:r>
    </w:p>
    <w:p w:rsidR="005625B3" w:rsidRDefault="00666542">
      <w:pPr>
        <w:numPr>
          <w:ilvl w:val="1"/>
          <w:numId w:val="8"/>
        </w:numPr>
        <w:spacing w:line="240" w:lineRule="auto"/>
        <w:ind w:left="1125" w:hanging="719"/>
        <w:jc w:val="both"/>
      </w:pPr>
      <w:r>
        <w:t>Настоящий Договор заключен с «10» января 2014г. и действителен до «10» января 2015г.</w:t>
      </w:r>
    </w:p>
    <w:p w:rsidR="005625B3" w:rsidRDefault="00666542">
      <w:pPr>
        <w:numPr>
          <w:ilvl w:val="1"/>
          <w:numId w:val="8"/>
        </w:numPr>
        <w:spacing w:line="240" w:lineRule="auto"/>
        <w:ind w:left="1125" w:hanging="719"/>
        <w:jc w:val="both"/>
      </w:pPr>
      <w:r>
        <w:t xml:space="preserve">Договор подлежит пролонгации при взаимном согласии </w:t>
      </w:r>
    </w:p>
    <w:p w:rsidR="005625B3" w:rsidRDefault="005625B3">
      <w:pPr>
        <w:spacing w:line="240" w:lineRule="auto"/>
        <w:jc w:val="both"/>
      </w:pPr>
    </w:p>
    <w:p w:rsidR="005625B3" w:rsidRDefault="00666542">
      <w:pPr>
        <w:numPr>
          <w:ilvl w:val="0"/>
          <w:numId w:val="12"/>
        </w:numPr>
        <w:spacing w:line="240" w:lineRule="auto"/>
        <w:ind w:left="720" w:hanging="719"/>
        <w:jc w:val="both"/>
      </w:pPr>
      <w:r>
        <w:rPr>
          <w:b/>
        </w:rPr>
        <w:t>ФОРС-МАЖОР</w:t>
      </w:r>
    </w:p>
    <w:p w:rsidR="005625B3" w:rsidRDefault="00666542">
      <w:pPr>
        <w:numPr>
          <w:ilvl w:val="1"/>
          <w:numId w:val="12"/>
        </w:numPr>
        <w:spacing w:line="240" w:lineRule="auto"/>
        <w:ind w:left="1125" w:hanging="719"/>
        <w:jc w:val="both"/>
      </w:pPr>
      <w:r>
        <w:lastRenderedPageBreak/>
        <w:t>Стороны освобождаются от ответственности за частичное или полное неисполнение своих обязательств по настоящ</w:t>
      </w:r>
      <w:r>
        <w:t>ему Договору, если такое неисполнение вызвано действием обстоятельств непреодолимой силы, а именно:</w:t>
      </w:r>
    </w:p>
    <w:p w:rsidR="005625B3" w:rsidRDefault="00666542">
      <w:pPr>
        <w:numPr>
          <w:ilvl w:val="0"/>
          <w:numId w:val="14"/>
        </w:numPr>
        <w:spacing w:line="240" w:lineRule="auto"/>
        <w:ind w:left="1410" w:hanging="359"/>
        <w:contextualSpacing/>
        <w:jc w:val="both"/>
      </w:pPr>
      <w:r>
        <w:t>с</w:t>
      </w:r>
      <w:r>
        <w:t>тихийными бедствиями, авариями, пожарами, массовыми беспорядками, забастовками, военными действиями и т.п.;</w:t>
      </w:r>
    </w:p>
    <w:p w:rsidR="005625B3" w:rsidRDefault="00666542">
      <w:pPr>
        <w:numPr>
          <w:ilvl w:val="0"/>
          <w:numId w:val="14"/>
        </w:numPr>
        <w:spacing w:line="240" w:lineRule="auto"/>
        <w:ind w:left="1410" w:hanging="359"/>
        <w:contextualSpacing/>
        <w:jc w:val="both"/>
      </w:pPr>
      <w:r>
        <w:t>противоправными действиями третьих лиц;</w:t>
      </w:r>
    </w:p>
    <w:p w:rsidR="005625B3" w:rsidRDefault="00666542">
      <w:pPr>
        <w:numPr>
          <w:ilvl w:val="0"/>
          <w:numId w:val="14"/>
        </w:numPr>
        <w:spacing w:line="240" w:lineRule="auto"/>
        <w:ind w:left="1410" w:hanging="359"/>
        <w:contextualSpacing/>
        <w:jc w:val="both"/>
      </w:pPr>
      <w:r>
        <w:t>решения</w:t>
      </w:r>
      <w:r>
        <w:t>ми органов законодательной или исполнительной власти Российской Федерации.</w:t>
      </w:r>
    </w:p>
    <w:p w:rsidR="005625B3" w:rsidRDefault="00666542">
      <w:pPr>
        <w:numPr>
          <w:ilvl w:val="1"/>
          <w:numId w:val="12"/>
        </w:numPr>
        <w:spacing w:line="240" w:lineRule="auto"/>
        <w:ind w:left="1125" w:hanging="719"/>
        <w:jc w:val="both"/>
      </w:pPr>
      <w:r>
        <w:t xml:space="preserve">При возникновении обстоятельств непреодолимой силы ни одна из Сторон, участвующих в настоящем Договоре, не должна рассматриваться виновной и несущей ответственность за любые убытки </w:t>
      </w:r>
      <w:r>
        <w:t>или ущерб, нанесенные или причиненные в результате их действия. Стороны должны непрерывно прилагать все возможные усилия для предотвращения или снижения таких убытков и ущерба.</w:t>
      </w:r>
    </w:p>
    <w:p w:rsidR="005625B3" w:rsidRDefault="00666542">
      <w:pPr>
        <w:numPr>
          <w:ilvl w:val="1"/>
          <w:numId w:val="12"/>
        </w:numPr>
        <w:spacing w:line="240" w:lineRule="auto"/>
        <w:ind w:left="1125" w:hanging="719"/>
        <w:jc w:val="both"/>
      </w:pPr>
      <w:r>
        <w:t>Сторона, подвергшаяся воздействию обстоятельств непреодолимой силы, обязана нез</w:t>
      </w:r>
      <w:r>
        <w:t>амедлительно проинформировать об этом в письменной форме другую Сторону, описав характер этих обстоятельств, не позднее, чем через 5 (пять) дней после их наступления. Несоблюдение этого срока для уведомления другой Стороны, равно как и отказ от обязанносте</w:t>
      </w:r>
      <w:r>
        <w:t>й уведомления другой Стороны, должны рассматриваться как отказ от прав в соответствии с п. 9.1. настоящего Договора.</w:t>
      </w:r>
    </w:p>
    <w:p w:rsidR="005625B3" w:rsidRDefault="00666542">
      <w:pPr>
        <w:numPr>
          <w:ilvl w:val="1"/>
          <w:numId w:val="12"/>
        </w:numPr>
        <w:spacing w:line="240" w:lineRule="auto"/>
        <w:ind w:left="1125" w:hanging="719"/>
        <w:jc w:val="both"/>
      </w:pPr>
      <w:r>
        <w:t>Возникновение обстоятельств непреодолимой силы должно быть заверено соответствующими официальными властями территории, где эти обстоятельст</w:t>
      </w:r>
      <w:r>
        <w:t>ва имели место.</w:t>
      </w:r>
    </w:p>
    <w:p w:rsidR="005625B3" w:rsidRDefault="005625B3">
      <w:pPr>
        <w:spacing w:line="240" w:lineRule="auto"/>
        <w:jc w:val="both"/>
      </w:pPr>
    </w:p>
    <w:p w:rsidR="005625B3" w:rsidRDefault="00666542">
      <w:pPr>
        <w:numPr>
          <w:ilvl w:val="0"/>
          <w:numId w:val="2"/>
        </w:numPr>
        <w:spacing w:line="240" w:lineRule="auto"/>
        <w:ind w:left="720" w:hanging="719"/>
        <w:jc w:val="both"/>
      </w:pPr>
      <w:r>
        <w:rPr>
          <w:b/>
        </w:rPr>
        <w:t>УРЕГУЛИРОВАНИЕ СПОРОВ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Разногласия, которые могут возникнуть при исполнении настоящего Договора, разрешаются путем переговоров.</w:t>
      </w:r>
    </w:p>
    <w:p w:rsidR="005625B3" w:rsidRDefault="00666542">
      <w:pPr>
        <w:numPr>
          <w:ilvl w:val="2"/>
          <w:numId w:val="2"/>
        </w:numPr>
        <w:spacing w:line="240" w:lineRule="auto"/>
        <w:ind w:left="1410" w:hanging="719"/>
        <w:jc w:val="both"/>
      </w:pPr>
      <w:r>
        <w:t>Требования Сторон друг к другу, вытекающие из Договора, предъявляются с обязательным соблюдением претензионного порядка (претензии составляются и направляются в письменной форме);</w:t>
      </w:r>
    </w:p>
    <w:p w:rsidR="005625B3" w:rsidRDefault="00666542">
      <w:pPr>
        <w:numPr>
          <w:ilvl w:val="2"/>
          <w:numId w:val="2"/>
        </w:numPr>
        <w:spacing w:line="240" w:lineRule="auto"/>
        <w:ind w:left="1410" w:hanging="719"/>
        <w:jc w:val="both"/>
      </w:pPr>
      <w:r>
        <w:t>Сторона, получившая претензию, обязана направить ответ на претензию в течени</w:t>
      </w:r>
      <w:r>
        <w:t>е 30 (тридцати) дней со дня ее получения.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В случае невозможности достижения взаимной договоренности, при отклонении претензии полностью или частично, неполучения ответа в срок, установленный п. 10.1.2. Договора, споры подлежат разрешению в Арбитражном суде</w:t>
      </w:r>
      <w:r>
        <w:t xml:space="preserve"> г. Москвы в соответствии с действующим законодательством Российской Федерации.</w:t>
      </w:r>
    </w:p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numPr>
          <w:ilvl w:val="0"/>
          <w:numId w:val="2"/>
        </w:numPr>
        <w:spacing w:line="240" w:lineRule="auto"/>
        <w:ind w:left="720" w:hanging="719"/>
      </w:pPr>
      <w:r>
        <w:rPr>
          <w:b/>
        </w:rPr>
        <w:t>ИЗМЕНЕНИЕ И/ИЛИ ДОПОЛНЕНИЯ ДОГОВОРА</w:t>
      </w:r>
    </w:p>
    <w:p w:rsidR="005625B3" w:rsidRDefault="005625B3">
      <w:pPr>
        <w:spacing w:line="240" w:lineRule="auto"/>
        <w:ind w:left="720" w:hanging="719"/>
        <w:jc w:val="both"/>
      </w:pP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 xml:space="preserve">Настоящий Договор может быть изменен и/или дополнен Сторонами в период его действия на основе их взаимного согласия и наличия объективных </w:t>
      </w:r>
      <w:r>
        <w:t>причин, вызвавших такие действия Сторон.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Последствия изменения и/или дополнения настоящего Договора определяются взаимным соглашением Сторон или судом по требованию любой из Сторон настоящего Договора.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5625B3" w:rsidRDefault="005625B3">
      <w:pPr>
        <w:spacing w:line="240" w:lineRule="auto"/>
        <w:ind w:left="720" w:hanging="719"/>
      </w:pPr>
    </w:p>
    <w:p w:rsidR="005625B3" w:rsidRDefault="00666542">
      <w:pPr>
        <w:numPr>
          <w:ilvl w:val="0"/>
          <w:numId w:val="2"/>
        </w:numPr>
        <w:spacing w:line="240" w:lineRule="auto"/>
        <w:ind w:left="720" w:hanging="719"/>
      </w:pPr>
      <w:r>
        <w:rPr>
          <w:b/>
        </w:rPr>
        <w:t>ВОЗМОЖНОСТЬ И ПОРЯДОК РАСТОРЖЕНИЯ ДОГОВОРА</w:t>
      </w:r>
    </w:p>
    <w:p w:rsidR="005625B3" w:rsidRDefault="005625B3">
      <w:pPr>
        <w:spacing w:line="240" w:lineRule="auto"/>
        <w:ind w:left="720" w:hanging="719"/>
        <w:jc w:val="both"/>
      </w:pP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proofErr w:type="gramStart"/>
      <w:r>
        <w:t>Договор</w:t>
      </w:r>
      <w:proofErr w:type="gramEnd"/>
      <w:r>
        <w:t xml:space="preserve"> </w:t>
      </w:r>
      <w:r>
        <w:t>может быть расторгнут по соглашению Сторон.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proofErr w:type="gramStart"/>
      <w:r>
        <w:t>Договор</w:t>
      </w:r>
      <w:proofErr w:type="gramEnd"/>
      <w:r>
        <w:t xml:space="preserve"> может быть расторгнут через 5 дней после уведомления Заказчиком Исполнителя о факте расторжения договора.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proofErr w:type="gramStart"/>
      <w:r>
        <w:t>Договор</w:t>
      </w:r>
      <w:proofErr w:type="gramEnd"/>
      <w:r>
        <w:t xml:space="preserve"> может быть расторгнут судом по требованию одной из Сторон только при существенном нарушени</w:t>
      </w:r>
      <w:r>
        <w:t>и условий настоящего Договора одной из Сторон, или в иных случаях, предусмотренных настоящим Договором или действующим законодательством.</w:t>
      </w:r>
      <w:r>
        <w:t xml:space="preserve"> </w:t>
      </w:r>
      <w:r>
        <w:t>Нарушение условий настоящего Договора признается существенным, когда одна из Сторон допустила действие (или бездействи</w:t>
      </w:r>
      <w:r>
        <w:t>е), которое влечет для другой Стороны такой ущерб, что дальнейшее действие настоящего Договора теряет смысл, поскольку эта Сторона в значительной мере лишается того, на что рассчитывала при заключении настоящего Договора.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lastRenderedPageBreak/>
        <w:t>Иные последствия расторжения насто</w:t>
      </w:r>
      <w:r>
        <w:t>ящего Договора определяются взаимным соглашением его Сторон или судом по требованию любой из Сторон настоящего Договора.</w:t>
      </w:r>
    </w:p>
    <w:p w:rsidR="005625B3" w:rsidRDefault="005625B3">
      <w:pPr>
        <w:spacing w:line="240" w:lineRule="auto"/>
        <w:jc w:val="both"/>
      </w:pPr>
    </w:p>
    <w:p w:rsidR="005625B3" w:rsidRDefault="005625B3">
      <w:pPr>
        <w:spacing w:line="240" w:lineRule="auto"/>
        <w:jc w:val="both"/>
      </w:pPr>
    </w:p>
    <w:p w:rsidR="005625B3" w:rsidRDefault="00666542">
      <w:pPr>
        <w:numPr>
          <w:ilvl w:val="0"/>
          <w:numId w:val="2"/>
        </w:numPr>
        <w:spacing w:line="240" w:lineRule="auto"/>
        <w:ind w:left="720" w:hanging="719"/>
        <w:jc w:val="both"/>
      </w:pPr>
      <w:r>
        <w:rPr>
          <w:b/>
        </w:rPr>
        <w:t>ПРОЧИЕ УСЛОВИЯ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Во всем, что не предусмотрено настоящим Договором, Стороны руководствуются действующим законодательством.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Если какое-либо из положений настоящего Договора становится недействительным в связи с изменением законодательства Российской Федерации, это не затрагивает действительности остальных положений настоящего Договора.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 xml:space="preserve">Приложения к настоящему Договору являются </w:t>
      </w:r>
      <w:r>
        <w:t>его неотъемлемой частью.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5625B3" w:rsidRDefault="00666542">
      <w:pPr>
        <w:numPr>
          <w:ilvl w:val="1"/>
          <w:numId w:val="2"/>
        </w:numPr>
        <w:spacing w:line="240" w:lineRule="auto"/>
        <w:ind w:left="1125" w:hanging="719"/>
        <w:jc w:val="both"/>
      </w:pPr>
      <w:r>
        <w:t>Сроки выполнения работ по продвижению поисковых запросов могут быть изменены в случае изменения а</w:t>
      </w:r>
      <w:r>
        <w:t>лгоритма работы соответствующей поисковой системы</w:t>
      </w:r>
    </w:p>
    <w:p w:rsidR="005625B3" w:rsidRDefault="005625B3">
      <w:pPr>
        <w:spacing w:line="240" w:lineRule="auto"/>
        <w:ind w:left="720"/>
        <w:jc w:val="both"/>
      </w:pPr>
    </w:p>
    <w:p w:rsidR="005625B3" w:rsidRDefault="005625B3">
      <w:pPr>
        <w:spacing w:line="240" w:lineRule="auto"/>
        <w:ind w:left="720"/>
        <w:jc w:val="both"/>
      </w:pPr>
    </w:p>
    <w:p w:rsidR="005625B3" w:rsidRDefault="00666542">
      <w:pPr>
        <w:numPr>
          <w:ilvl w:val="0"/>
          <w:numId w:val="15"/>
        </w:numPr>
        <w:tabs>
          <w:tab w:val="left" w:pos="-2699"/>
        </w:tabs>
        <w:spacing w:line="240" w:lineRule="auto"/>
        <w:contextualSpacing/>
        <w:jc w:val="both"/>
      </w:pPr>
      <w:r>
        <w:rPr>
          <w:b/>
        </w:rPr>
        <w:t>АДРЕСА И РЕКВИЗИТЫ СТОРОН</w:t>
      </w:r>
    </w:p>
    <w:p w:rsidR="005625B3" w:rsidRDefault="005625B3">
      <w:pPr>
        <w:spacing w:line="240" w:lineRule="auto"/>
        <w:ind w:left="705"/>
        <w:jc w:val="both"/>
      </w:pPr>
    </w:p>
    <w:tbl>
      <w:tblPr>
        <w:tblStyle w:val="TableNormal"/>
        <w:tblW w:w="1077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5"/>
        <w:gridCol w:w="5387"/>
      </w:tblGrid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Исполнитель:</w:t>
            </w:r>
          </w:p>
          <w:p w:rsidR="005625B3" w:rsidRDefault="00666542">
            <w:pPr>
              <w:spacing w:line="240" w:lineRule="auto"/>
            </w:pPr>
            <w:r>
              <w:t>ООО "</w:t>
            </w:r>
            <w:proofErr w:type="spellStart"/>
            <w:r>
              <w:t>МегаИндекс</w:t>
            </w:r>
            <w:proofErr w:type="spellEnd"/>
            <w:r>
              <w:t>"</w:t>
            </w:r>
          </w:p>
          <w:p w:rsidR="005625B3" w:rsidRDefault="00666542">
            <w:pPr>
              <w:spacing w:line="240" w:lineRule="auto"/>
            </w:pPr>
            <w:r>
              <w:t>Юридический и почтовый адрес: 117105, г. Москва, шоссе Варшавское, д.1, стр. 1-2, подвал-комната 5д</w:t>
            </w:r>
          </w:p>
          <w:p w:rsidR="005625B3" w:rsidRDefault="00666542">
            <w:pPr>
              <w:spacing w:line="240" w:lineRule="auto"/>
            </w:pPr>
            <w:r>
              <w:t>Расчетный счет № 40702810900000009458</w:t>
            </w:r>
          </w:p>
          <w:p w:rsidR="005625B3" w:rsidRDefault="00666542">
            <w:pPr>
              <w:spacing w:line="240" w:lineRule="auto"/>
            </w:pPr>
            <w:r>
              <w:t>ИНН/КПП 7</w:t>
            </w:r>
            <w:r>
              <w:t>726718700/772601001</w:t>
            </w:r>
          </w:p>
          <w:p w:rsidR="005625B3" w:rsidRDefault="00666542">
            <w:pPr>
              <w:spacing w:line="240" w:lineRule="auto"/>
            </w:pPr>
            <w:r>
              <w:t>ОГРН 1137746294630</w:t>
            </w:r>
          </w:p>
          <w:p w:rsidR="005625B3" w:rsidRDefault="00666542">
            <w:pPr>
              <w:spacing w:line="240" w:lineRule="auto"/>
            </w:pPr>
            <w:r>
              <w:t>Реквизиты банка:</w:t>
            </w:r>
          </w:p>
          <w:p w:rsidR="005625B3" w:rsidRDefault="00666542">
            <w:pPr>
              <w:spacing w:line="240" w:lineRule="auto"/>
            </w:pPr>
            <w:r>
              <w:t>ОАО "Собинбанк"</w:t>
            </w:r>
          </w:p>
          <w:p w:rsidR="005625B3" w:rsidRDefault="00666542">
            <w:pPr>
              <w:spacing w:line="240" w:lineRule="auto"/>
            </w:pPr>
            <w:r>
              <w:t xml:space="preserve">123022, г. Москва, ул. </w:t>
            </w:r>
            <w:proofErr w:type="spellStart"/>
            <w:r>
              <w:t>Рочдельская</w:t>
            </w:r>
            <w:proofErr w:type="spellEnd"/>
            <w:r>
              <w:t>, д.15, стр.56, 4 этаж</w:t>
            </w:r>
          </w:p>
          <w:p w:rsidR="005625B3" w:rsidRDefault="00666542">
            <w:pPr>
              <w:spacing w:line="240" w:lineRule="auto"/>
            </w:pPr>
            <w:r>
              <w:t>корр. счет 30101810400000000487</w:t>
            </w:r>
          </w:p>
          <w:p w:rsidR="005625B3" w:rsidRDefault="00666542">
            <w:pPr>
              <w:spacing w:line="240" w:lineRule="auto"/>
            </w:pPr>
            <w:r>
              <w:t>БИК 044525487</w:t>
            </w:r>
          </w:p>
          <w:p w:rsidR="005625B3" w:rsidRDefault="005625B3">
            <w:pPr>
              <w:spacing w:line="240" w:lineRule="auto"/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Заказчик:</w:t>
            </w:r>
          </w:p>
          <w:p w:rsidR="005625B3" w:rsidRDefault="00666542">
            <w:pPr>
              <w:spacing w:line="240" w:lineRule="auto"/>
            </w:pPr>
            <w:r>
              <w:br/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5625B3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  <w:rPr>
                <w:b/>
              </w:rPr>
            </w:pPr>
          </w:p>
          <w:p w:rsidR="005B2FDB" w:rsidRDefault="005B2FDB">
            <w:pPr>
              <w:spacing w:line="240" w:lineRule="auto"/>
            </w:pP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5625B3">
            <w:pPr>
              <w:spacing w:line="240" w:lineRule="auto"/>
            </w:pP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Исполнитель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Заказчик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Генеральный директор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Генеральный директор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proofErr w:type="spellStart"/>
            <w:r>
              <w:t>Хиврин</w:t>
            </w:r>
            <w:proofErr w:type="spellEnd"/>
            <w:r>
              <w:t xml:space="preserve"> Н.Н.        _________________________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___________</w:t>
            </w:r>
            <w:r w:rsidR="005B2FDB">
              <w:t>_______________________________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5625B3">
            <w:pPr>
              <w:spacing w:line="240" w:lineRule="auto"/>
              <w:jc w:val="center"/>
            </w:pPr>
          </w:p>
          <w:p w:rsidR="005625B3" w:rsidRDefault="00666542">
            <w:pPr>
              <w:spacing w:line="240" w:lineRule="auto"/>
              <w:jc w:val="center"/>
            </w:pPr>
            <w:r>
              <w:t>М.П.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5625B3">
            <w:pPr>
              <w:spacing w:line="240" w:lineRule="auto"/>
              <w:jc w:val="center"/>
            </w:pPr>
          </w:p>
          <w:p w:rsidR="005625B3" w:rsidRDefault="00666542">
            <w:pPr>
              <w:spacing w:line="240" w:lineRule="auto"/>
              <w:jc w:val="center"/>
            </w:pPr>
            <w:r>
              <w:t>М.П.</w:t>
            </w:r>
          </w:p>
        </w:tc>
      </w:tr>
    </w:tbl>
    <w:p w:rsidR="005625B3" w:rsidRDefault="005625B3">
      <w:pPr>
        <w:spacing w:after="60" w:line="240" w:lineRule="auto"/>
      </w:pPr>
    </w:p>
    <w:p w:rsidR="005625B3" w:rsidRDefault="00666542">
      <w:r>
        <w:br w:type="page"/>
      </w:r>
    </w:p>
    <w:p w:rsidR="005625B3" w:rsidRDefault="005625B3">
      <w:pPr>
        <w:spacing w:after="60" w:line="240" w:lineRule="auto"/>
      </w:pPr>
    </w:p>
    <w:p w:rsidR="005625B3" w:rsidRDefault="00666542">
      <w:pPr>
        <w:spacing w:after="60" w:line="240" w:lineRule="auto"/>
        <w:jc w:val="center"/>
      </w:pPr>
      <w:r>
        <w:rPr>
          <w:b/>
        </w:rPr>
        <w:t>ПРИЛОЖЕНИЕ №1</w:t>
      </w:r>
      <w:proofErr w:type="gramStart"/>
      <w:r>
        <w:rPr>
          <w:b/>
        </w:rPr>
        <w:t xml:space="preserve"> К</w:t>
      </w:r>
      <w:proofErr w:type="gramEnd"/>
      <w:r>
        <w:rPr>
          <w:b/>
        </w:rPr>
        <w:t xml:space="preserve"> ДОГОВОРУ НА ПРОДВИЖЕНИЕ</w:t>
      </w:r>
    </w:p>
    <w:p w:rsidR="005625B3" w:rsidRDefault="00666542">
      <w:pPr>
        <w:spacing w:after="60" w:line="240" w:lineRule="auto"/>
        <w:jc w:val="center"/>
      </w:pPr>
      <w:r>
        <w:rPr>
          <w:b/>
        </w:rPr>
        <w:t xml:space="preserve">ИНТЕРЕНЕТ-ПРЕДСТВАИТЕЛЬСТВА </w:t>
      </w:r>
      <w:r>
        <w:rPr>
          <w:b/>
          <w:shd w:val="clear" w:color="auto" w:fill="CCCCCC"/>
        </w:rPr>
        <w:t xml:space="preserve">№ </w:t>
      </w:r>
      <w:r w:rsidR="005B2FDB">
        <w:rPr>
          <w:b/>
          <w:shd w:val="clear" w:color="auto" w:fill="CCCCCC"/>
        </w:rPr>
        <w:t>__________ от _</w:t>
      </w:r>
      <w:r>
        <w:rPr>
          <w:b/>
          <w:shd w:val="clear" w:color="auto" w:fill="CCCCCC"/>
        </w:rPr>
        <w:t xml:space="preserve"> </w:t>
      </w:r>
      <w:r w:rsidR="005B2FDB">
        <w:rPr>
          <w:b/>
          <w:shd w:val="clear" w:color="auto" w:fill="CCCCCC"/>
        </w:rPr>
        <w:t>____ ___</w:t>
      </w:r>
      <w:r>
        <w:rPr>
          <w:b/>
          <w:shd w:val="clear" w:color="auto" w:fill="CCCCCC"/>
        </w:rPr>
        <w:t xml:space="preserve"> года</w:t>
      </w:r>
    </w:p>
    <w:tbl>
      <w:tblPr>
        <w:tblStyle w:val="TableNormal"/>
        <w:tblW w:w="1077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073"/>
        <w:gridCol w:w="6699"/>
      </w:tblGrid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3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  <w:jc w:val="both"/>
            </w:pPr>
            <w:r>
              <w:t>г. Москва</w:t>
            </w:r>
          </w:p>
        </w:tc>
        <w:tc>
          <w:tcPr>
            <w:tcW w:w="6699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  <w:ind w:right="-119"/>
              <w:jc w:val="right"/>
            </w:pPr>
            <w:r>
              <w:t>«7» апреля 2014г.</w:t>
            </w:r>
          </w:p>
        </w:tc>
      </w:tr>
    </w:tbl>
    <w:p w:rsidR="005625B3" w:rsidRDefault="00666542">
      <w:pPr>
        <w:numPr>
          <w:ilvl w:val="1"/>
          <w:numId w:val="13"/>
        </w:numPr>
        <w:spacing w:before="120"/>
        <w:ind w:hanging="359"/>
        <w:contextualSpacing/>
        <w:jc w:val="both"/>
      </w:pPr>
      <w:r>
        <w:t xml:space="preserve">В порядке, указанном в главе 3 Договора Заказчик вносит обеспечительный платеж в размере </w:t>
      </w:r>
      <w:r w:rsidR="005B2FDB">
        <w:t>______________</w:t>
      </w:r>
      <w:r>
        <w:t xml:space="preserve"> рублей.</w:t>
      </w:r>
    </w:p>
    <w:p w:rsidR="005625B3" w:rsidRDefault="00666542">
      <w:pPr>
        <w:numPr>
          <w:ilvl w:val="1"/>
          <w:numId w:val="13"/>
        </w:numPr>
        <w:ind w:hanging="359"/>
        <w:contextualSpacing/>
      </w:pPr>
      <w:r>
        <w:t>За продвижение по согласованным ключевым словам Заказчик ежемесячно выплачивает Исполнителю вознаграж</w:t>
      </w:r>
      <w:r>
        <w:t xml:space="preserve">дение за каждый день оказания услуг в размере, согласованном в данном Приложении №1 к Договору, но не менее 25% обеспечительного платежа, что составляет </w:t>
      </w:r>
      <w:r w:rsidR="005B2FDB">
        <w:t>___________</w:t>
      </w:r>
      <w:r>
        <w:t xml:space="preserve"> рублей.</w:t>
      </w:r>
    </w:p>
    <w:p w:rsidR="005625B3" w:rsidRDefault="00666542">
      <w:pPr>
        <w:numPr>
          <w:ilvl w:val="1"/>
          <w:numId w:val="13"/>
        </w:numPr>
        <w:ind w:hanging="359"/>
        <w:contextualSpacing/>
      </w:pPr>
      <w:r>
        <w:t xml:space="preserve">Если в период поддержки в течение дня URL‑адрес </w:t>
      </w:r>
      <w:proofErr w:type="gramStart"/>
      <w:r>
        <w:t>интер</w:t>
      </w:r>
      <w:r>
        <w:t>нет-представительства</w:t>
      </w:r>
      <w:proofErr w:type="gramEnd"/>
      <w:r>
        <w:t xml:space="preserve"> Заказчика не содержался на Первой странице по Ключевым словам, то поддержка по соответствующим Ключевым сл</w:t>
      </w:r>
      <w:bookmarkStart w:id="0" w:name="_GoBack"/>
      <w:bookmarkEnd w:id="0"/>
      <w:r>
        <w:t>овам в течение такого дня не подлежит оплате.</w:t>
      </w:r>
    </w:p>
    <w:p w:rsidR="005625B3" w:rsidRDefault="00666542">
      <w:pPr>
        <w:numPr>
          <w:ilvl w:val="1"/>
          <w:numId w:val="13"/>
        </w:numPr>
        <w:ind w:hanging="359"/>
        <w:contextualSpacing/>
      </w:pPr>
      <w:r>
        <w:t>Ключевые слова.</w:t>
      </w:r>
    </w:p>
    <w:tbl>
      <w:tblPr>
        <w:tblStyle w:val="TableNormal"/>
        <w:tblW w:w="95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345"/>
        <w:gridCol w:w="1065"/>
        <w:gridCol w:w="3900"/>
        <w:gridCol w:w="1200"/>
      </w:tblGrid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  <w:jc w:val="center"/>
            </w:pPr>
            <w:r>
              <w:rPr>
                <w:b/>
                <w:sz w:val="16"/>
              </w:rPr>
              <w:t>Запрос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-269" w:right="-194"/>
              <w:jc w:val="center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jc w:val="center"/>
            </w:pPr>
            <w:r>
              <w:rPr>
                <w:b/>
                <w:sz w:val="16"/>
              </w:rPr>
              <w:t>Запрос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jc w:val="center"/>
            </w:pPr>
            <w:r>
              <w:rPr>
                <w:b/>
                <w:sz w:val="16"/>
              </w:rPr>
              <w:t>Цена</w:t>
            </w:r>
            <w:r>
              <w:rPr>
                <w:b/>
                <w:sz w:val="16"/>
              </w:rPr>
              <w:br/>
              <w:t>в день</w:t>
            </w: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right="-179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  <w:tr w:rsidR="005B2FDB" w:rsidTr="005B2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3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  <w:ind w:left="30" w:right="-74"/>
            </w:pPr>
          </w:p>
        </w:tc>
        <w:tc>
          <w:tcPr>
            <w:tcW w:w="1065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FDB" w:rsidRDefault="005B2FDB">
            <w:pPr>
              <w:spacing w:line="240" w:lineRule="auto"/>
            </w:pPr>
          </w:p>
        </w:tc>
        <w:tc>
          <w:tcPr>
            <w:tcW w:w="1200" w:type="dxa"/>
            <w:tcMar>
              <w:left w:w="40" w:type="dxa"/>
              <w:right w:w="40" w:type="dxa"/>
            </w:tcMar>
            <w:vAlign w:val="bottom"/>
          </w:tcPr>
          <w:p w:rsidR="005B2FDB" w:rsidRDefault="005B2FDB">
            <w:pPr>
              <w:spacing w:line="240" w:lineRule="auto"/>
            </w:pPr>
          </w:p>
        </w:tc>
      </w:tr>
    </w:tbl>
    <w:p w:rsidR="005625B3" w:rsidRDefault="005625B3">
      <w:pPr>
        <w:spacing w:line="240" w:lineRule="auto"/>
        <w:jc w:val="both"/>
      </w:pPr>
    </w:p>
    <w:tbl>
      <w:tblPr>
        <w:tblStyle w:val="TableNormal"/>
        <w:tblW w:w="1077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385"/>
        <w:gridCol w:w="5387"/>
      </w:tblGrid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Подписи сторон: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5625B3">
            <w:pPr>
              <w:spacing w:line="240" w:lineRule="auto"/>
            </w:pP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Исполнитель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rPr>
                <w:b/>
              </w:rPr>
              <w:t>Заказчик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Генеральный директор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Генеральный директор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proofErr w:type="spellStart"/>
            <w:r>
              <w:t>Хиврин</w:t>
            </w:r>
            <w:proofErr w:type="spellEnd"/>
            <w:r>
              <w:t xml:space="preserve"> Н.Н.        _________________________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</w:pPr>
            <w:r>
              <w:t>___________</w:t>
            </w:r>
            <w:r w:rsidR="005B2FDB">
              <w:t>_______________________________</w:t>
            </w:r>
          </w:p>
        </w:tc>
      </w:tr>
      <w:tr w:rsidR="005625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385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  <w:jc w:val="center"/>
            </w:pPr>
            <w:r>
              <w:t>М.П.</w:t>
            </w:r>
          </w:p>
        </w:tc>
        <w:tc>
          <w:tcPr>
            <w:tcW w:w="5387" w:type="dxa"/>
            <w:tcMar>
              <w:left w:w="108" w:type="dxa"/>
              <w:right w:w="108" w:type="dxa"/>
            </w:tcMar>
          </w:tcPr>
          <w:p w:rsidR="005625B3" w:rsidRDefault="00666542">
            <w:pPr>
              <w:spacing w:line="240" w:lineRule="auto"/>
              <w:jc w:val="center"/>
            </w:pPr>
            <w:r>
              <w:t>М.П.</w:t>
            </w:r>
          </w:p>
        </w:tc>
      </w:tr>
    </w:tbl>
    <w:p w:rsidR="005625B3" w:rsidRDefault="005625B3">
      <w:pPr>
        <w:spacing w:after="60" w:line="240" w:lineRule="auto"/>
      </w:pPr>
    </w:p>
    <w:sectPr w:rsidR="005625B3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42" w:rsidRDefault="00666542">
      <w:pPr>
        <w:spacing w:line="240" w:lineRule="auto"/>
      </w:pPr>
      <w:r>
        <w:separator/>
      </w:r>
    </w:p>
  </w:endnote>
  <w:endnote w:type="continuationSeparator" w:id="0">
    <w:p w:rsidR="00666542" w:rsidRDefault="00666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5B3" w:rsidRDefault="005625B3">
    <w:pPr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42" w:rsidRDefault="00666542">
      <w:pPr>
        <w:spacing w:line="240" w:lineRule="auto"/>
      </w:pPr>
      <w:r>
        <w:separator/>
      </w:r>
    </w:p>
  </w:footnote>
  <w:footnote w:type="continuationSeparator" w:id="0">
    <w:p w:rsidR="00666542" w:rsidRDefault="006665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DB"/>
    <w:multiLevelType w:val="multilevel"/>
    <w:tmpl w:val="84CC03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D53E1E"/>
    <w:multiLevelType w:val="multilevel"/>
    <w:tmpl w:val="AE7C637A"/>
    <w:lvl w:ilvl="0">
      <w:start w:val="2"/>
      <w:numFmt w:val="decimal"/>
      <w:lvlText w:val="%1."/>
      <w:lvlJc w:val="left"/>
      <w:pPr>
        <w:ind w:left="390" w:firstLine="0"/>
      </w:pPr>
      <w:rPr>
        <w:rFonts w:ascii="Arial" w:eastAsia="Arial" w:hAnsi="Arial" w:cs="Arial"/>
        <w:sz w:val="26"/>
        <w:vertAlign w:val="baseline"/>
      </w:rPr>
    </w:lvl>
    <w:lvl w:ilvl="1">
      <w:start w:val="1"/>
      <w:numFmt w:val="decimal"/>
      <w:lvlText w:val="%1.%2."/>
      <w:lvlJc w:val="left"/>
      <w:pPr>
        <w:ind w:left="390" w:firstLine="0"/>
      </w:pPr>
      <w:rPr>
        <w:rFonts w:ascii="Arial" w:eastAsia="Arial" w:hAnsi="Arial" w:cs="Arial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sz w:val="26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Arial" w:eastAsia="Arial" w:hAnsi="Arial" w:cs="Arial"/>
        <w:sz w:val="26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sz w:val="26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Arial" w:eastAsia="Arial" w:hAnsi="Arial" w:cs="Arial"/>
        <w:sz w:val="26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sz w:val="26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Arial" w:eastAsia="Arial" w:hAnsi="Arial" w:cs="Arial"/>
        <w:sz w:val="26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sz w:val="26"/>
        <w:vertAlign w:val="baseline"/>
      </w:rPr>
    </w:lvl>
  </w:abstractNum>
  <w:abstractNum w:abstractNumId="2">
    <w:nsid w:val="1075166B"/>
    <w:multiLevelType w:val="multilevel"/>
    <w:tmpl w:val="75EE996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2"/>
      <w:numFmt w:val="decimal"/>
      <w:lvlText w:val="2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128C3919"/>
    <w:multiLevelType w:val="multilevel"/>
    <w:tmpl w:val="4DA8A550"/>
    <w:lvl w:ilvl="0">
      <w:start w:val="8"/>
      <w:numFmt w:val="decimal"/>
      <w:lvlText w:val="%1."/>
      <w:lvlJc w:val="left"/>
      <w:pPr>
        <w:ind w:left="39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4">
    <w:nsid w:val="1D6F5B4F"/>
    <w:multiLevelType w:val="multilevel"/>
    <w:tmpl w:val="6046B9A6"/>
    <w:lvl w:ilvl="0">
      <w:start w:val="4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312B7616"/>
    <w:multiLevelType w:val="multilevel"/>
    <w:tmpl w:val="1CB828AC"/>
    <w:lvl w:ilvl="0">
      <w:start w:val="10"/>
      <w:numFmt w:val="decimal"/>
      <w:lvlText w:val="%1."/>
      <w:lvlJc w:val="left"/>
      <w:pPr>
        <w:ind w:left="525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6">
    <w:nsid w:val="31E14C3F"/>
    <w:multiLevelType w:val="multilevel"/>
    <w:tmpl w:val="C3C4E55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>
    <w:nsid w:val="323274C9"/>
    <w:multiLevelType w:val="multilevel"/>
    <w:tmpl w:val="220EBB2E"/>
    <w:lvl w:ilvl="0">
      <w:start w:val="14"/>
      <w:numFmt w:val="decimal"/>
      <w:lvlText w:val="%1."/>
      <w:lvlJc w:val="left"/>
      <w:pPr>
        <w:ind w:left="525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8">
    <w:nsid w:val="36447A0C"/>
    <w:multiLevelType w:val="multilevel"/>
    <w:tmpl w:val="FF0CF874"/>
    <w:lvl w:ilvl="0">
      <w:start w:val="3"/>
      <w:numFmt w:val="decimal"/>
      <w:lvlText w:val="%1."/>
      <w:lvlJc w:val="left"/>
      <w:pPr>
        <w:ind w:left="39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9">
    <w:nsid w:val="36971055"/>
    <w:multiLevelType w:val="multilevel"/>
    <w:tmpl w:val="6F4A088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ED94E29"/>
    <w:multiLevelType w:val="multilevel"/>
    <w:tmpl w:val="9B822F72"/>
    <w:lvl w:ilvl="0">
      <w:start w:val="9"/>
      <w:numFmt w:val="decimal"/>
      <w:lvlText w:val="%1."/>
      <w:lvlJc w:val="left"/>
      <w:pPr>
        <w:ind w:left="39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11">
    <w:nsid w:val="55113EE2"/>
    <w:multiLevelType w:val="multilevel"/>
    <w:tmpl w:val="66E4CF7A"/>
    <w:lvl w:ilvl="0">
      <w:start w:val="5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12">
    <w:nsid w:val="5A6E778D"/>
    <w:multiLevelType w:val="multilevel"/>
    <w:tmpl w:val="7F1E3F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3">
    <w:nsid w:val="5AB51A13"/>
    <w:multiLevelType w:val="multilevel"/>
    <w:tmpl w:val="1530146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>
    <w:nsid w:val="5D8E5F2E"/>
    <w:multiLevelType w:val="multilevel"/>
    <w:tmpl w:val="79948858"/>
    <w:lvl w:ilvl="0">
      <w:start w:val="7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ascii="Arial" w:eastAsia="Arial" w:hAnsi="Arial" w:cs="Arial"/>
        <w:vertAlign w:val="baseline"/>
      </w:rPr>
    </w:lvl>
  </w:abstractNum>
  <w:abstractNum w:abstractNumId="15">
    <w:nsid w:val="6D2E3A11"/>
    <w:multiLevelType w:val="multilevel"/>
    <w:tmpl w:val="C1FC9BF8"/>
    <w:lvl w:ilvl="0">
      <w:start w:val="4"/>
      <w:numFmt w:val="decimal"/>
      <w:lvlText w:val="%1."/>
      <w:lvlJc w:val="left"/>
      <w:pPr>
        <w:ind w:left="1098" w:firstLine="708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1.%2."/>
      <w:lvlJc w:val="left"/>
      <w:pPr>
        <w:ind w:left="1428" w:firstLine="708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428" w:firstLine="708"/>
      </w:pPr>
      <w:rPr>
        <w:rFonts w:ascii="Arial" w:eastAsia="Arial" w:hAnsi="Arial" w:cs="Arial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88" w:firstLine="708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%4.%5."/>
      <w:lvlJc w:val="left"/>
      <w:pPr>
        <w:ind w:left="1788" w:firstLine="708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1.%2.%3.%4.%5.%6."/>
      <w:lvlJc w:val="left"/>
      <w:pPr>
        <w:ind w:left="2148" w:firstLine="708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1.%2.%3.%4.%5.%6.%7."/>
      <w:lvlJc w:val="left"/>
      <w:pPr>
        <w:ind w:left="2148" w:firstLine="708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1.%2.%3.%4.%5.%6.%7.%8."/>
      <w:lvlJc w:val="left"/>
      <w:pPr>
        <w:ind w:left="2508" w:firstLine="708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08" w:firstLine="708"/>
      </w:pPr>
      <w:rPr>
        <w:rFonts w:ascii="Arial" w:eastAsia="Arial" w:hAnsi="Arial" w:cs="Arial"/>
        <w:vertAlign w:val="baseline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"/>
  </w:num>
  <w:num w:numId="5">
    <w:abstractNumId w:val="11"/>
  </w:num>
  <w:num w:numId="6">
    <w:abstractNumId w:val="4"/>
  </w:num>
  <w:num w:numId="7">
    <w:abstractNumId w:val="14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25B3"/>
    <w:rsid w:val="005625B3"/>
    <w:rsid w:val="005B2FDB"/>
    <w:rsid w:val="006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5B2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5B2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1717</Words>
  <Characters>9792</Characters>
  <Application>Microsoft Office Word</Application>
  <DocSecurity>0</DocSecurity>
  <Lines>81</Lines>
  <Paragraphs>22</Paragraphs>
  <ScaleCrop>false</ScaleCrop>
  <Company>*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продвижение сайта по позициям.docx</dc:title>
  <cp:lastModifiedBy>altweb</cp:lastModifiedBy>
  <cp:revision>2</cp:revision>
  <dcterms:created xsi:type="dcterms:W3CDTF">2014-04-07T12:35:00Z</dcterms:created>
  <dcterms:modified xsi:type="dcterms:W3CDTF">2014-04-07T13:08:00Z</dcterms:modified>
</cp:coreProperties>
</file>